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DC41A" w14:textId="361E9391" w:rsidR="00F04BCA" w:rsidRPr="00B26179" w:rsidRDefault="00F04BCA" w:rsidP="00F04BC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  <w:r w:rsidRPr="00B26179">
        <w:rPr>
          <w:rFonts w:ascii="Times New Roman" w:hAnsi="Times New Roman" w:cs="Times New Roman"/>
          <w:b/>
          <w:bCs/>
          <w:sz w:val="32"/>
          <w:szCs w:val="32"/>
          <w:lang w:val="sk-SK"/>
        </w:rPr>
        <w:t>Dodatok č. 1</w:t>
      </w:r>
      <w:r w:rsidR="00C86066">
        <w:rPr>
          <w:rFonts w:ascii="Times New Roman" w:hAnsi="Times New Roman" w:cs="Times New Roman"/>
          <w:b/>
          <w:bCs/>
          <w:sz w:val="32"/>
          <w:szCs w:val="32"/>
          <w:lang w:val="sk-SK"/>
        </w:rPr>
        <w:t>/2025</w:t>
      </w:r>
    </w:p>
    <w:p w14:paraId="1968F23D" w14:textId="77777777" w:rsidR="00F04BCA" w:rsidRPr="00B26179" w:rsidRDefault="00F04BCA" w:rsidP="00F04BC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  <w:r w:rsidRPr="00B26179">
        <w:rPr>
          <w:rFonts w:ascii="Times New Roman" w:hAnsi="Times New Roman" w:cs="Times New Roman"/>
          <w:b/>
          <w:bCs/>
          <w:sz w:val="32"/>
          <w:szCs w:val="32"/>
          <w:lang w:val="sk-SK"/>
        </w:rPr>
        <w:t>k školskému poriadku</w:t>
      </w:r>
    </w:p>
    <w:p w14:paraId="5D72F290" w14:textId="77777777" w:rsidR="00C86066" w:rsidRDefault="00F04BCA" w:rsidP="00F04BCA">
      <w:pPr>
        <w:jc w:val="center"/>
        <w:rPr>
          <w:rFonts w:ascii="Times New Roman" w:hAnsi="Times New Roman" w:cs="Times New Roman"/>
          <w:sz w:val="32"/>
          <w:szCs w:val="32"/>
          <w:lang w:val="sk-SK"/>
        </w:rPr>
      </w:pPr>
      <w:r w:rsidRPr="00B26179">
        <w:rPr>
          <w:rFonts w:ascii="Times New Roman" w:hAnsi="Times New Roman" w:cs="Times New Roman"/>
          <w:sz w:val="32"/>
          <w:szCs w:val="32"/>
          <w:lang w:val="sk-SK"/>
        </w:rPr>
        <w:t>Materskej školy s vyučovacím jazykom maďarským-</w:t>
      </w:r>
      <w:proofErr w:type="spellStart"/>
      <w:r w:rsidRPr="00B26179">
        <w:rPr>
          <w:rFonts w:ascii="Times New Roman" w:hAnsi="Times New Roman" w:cs="Times New Roman"/>
          <w:sz w:val="32"/>
          <w:szCs w:val="32"/>
          <w:lang w:val="sk-SK"/>
        </w:rPr>
        <w:t>Óvoda</w:t>
      </w:r>
      <w:proofErr w:type="spellEnd"/>
      <w:r w:rsidRPr="00B26179">
        <w:rPr>
          <w:rFonts w:ascii="Times New Roman" w:hAnsi="Times New Roman" w:cs="Times New Roman"/>
          <w:sz w:val="32"/>
          <w:szCs w:val="32"/>
          <w:lang w:val="sk-SK"/>
        </w:rPr>
        <w:t xml:space="preserve">, </w:t>
      </w:r>
    </w:p>
    <w:p w14:paraId="6A21CB00" w14:textId="49DB896D" w:rsidR="00F04BCA" w:rsidRDefault="00F04BCA" w:rsidP="00F04BCA">
      <w:pPr>
        <w:jc w:val="center"/>
        <w:rPr>
          <w:rFonts w:ascii="Times New Roman" w:hAnsi="Times New Roman" w:cs="Times New Roman"/>
          <w:sz w:val="32"/>
          <w:szCs w:val="32"/>
          <w:lang w:val="sk-SK"/>
        </w:rPr>
      </w:pPr>
      <w:r w:rsidRPr="00B26179">
        <w:rPr>
          <w:rFonts w:ascii="Times New Roman" w:hAnsi="Times New Roman" w:cs="Times New Roman"/>
          <w:sz w:val="32"/>
          <w:szCs w:val="32"/>
          <w:lang w:val="sk-SK"/>
        </w:rPr>
        <w:t>Školská ulica 348/36, 07652 Veľký Horeš</w:t>
      </w:r>
    </w:p>
    <w:p w14:paraId="0633EDD9" w14:textId="57E7D2C3" w:rsidR="0045736B" w:rsidRDefault="0045736B" w:rsidP="00F04BCA">
      <w:pPr>
        <w:jc w:val="center"/>
        <w:rPr>
          <w:rFonts w:ascii="Times New Roman" w:hAnsi="Times New Roman" w:cs="Times New Roman"/>
          <w:sz w:val="32"/>
          <w:szCs w:val="32"/>
          <w:lang w:val="sk-SK"/>
        </w:rPr>
      </w:pPr>
    </w:p>
    <w:p w14:paraId="738D69CA" w14:textId="77777777" w:rsidR="00B04D03" w:rsidRPr="00B26179" w:rsidRDefault="00B04D03" w:rsidP="00F04BCA">
      <w:pPr>
        <w:jc w:val="center"/>
        <w:rPr>
          <w:rFonts w:ascii="Times New Roman" w:hAnsi="Times New Roman" w:cs="Times New Roman"/>
          <w:sz w:val="32"/>
          <w:szCs w:val="32"/>
          <w:lang w:val="sk-SK"/>
        </w:rPr>
      </w:pPr>
    </w:p>
    <w:p w14:paraId="2D75ABB9" w14:textId="77777777" w:rsidR="00F04BCA" w:rsidRPr="00B26179" w:rsidRDefault="00F04BCA" w:rsidP="00F04BC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  <w:r w:rsidRPr="00B26179">
        <w:rPr>
          <w:rFonts w:ascii="Times New Roman" w:hAnsi="Times New Roman" w:cs="Times New Roman"/>
          <w:b/>
          <w:bCs/>
          <w:sz w:val="32"/>
          <w:szCs w:val="32"/>
          <w:lang w:val="sk-SK"/>
        </w:rPr>
        <w:t xml:space="preserve">ŠTANDARDY </w:t>
      </w:r>
      <w:proofErr w:type="spellStart"/>
      <w:r w:rsidRPr="00B26179">
        <w:rPr>
          <w:rFonts w:ascii="Times New Roman" w:hAnsi="Times New Roman" w:cs="Times New Roman"/>
          <w:b/>
          <w:bCs/>
          <w:sz w:val="32"/>
          <w:szCs w:val="32"/>
          <w:lang w:val="sk-SK"/>
        </w:rPr>
        <w:t>DORŽIAVANIA</w:t>
      </w:r>
      <w:proofErr w:type="spellEnd"/>
      <w:r w:rsidRPr="00B26179">
        <w:rPr>
          <w:rFonts w:ascii="Times New Roman" w:hAnsi="Times New Roman" w:cs="Times New Roman"/>
          <w:b/>
          <w:bCs/>
          <w:sz w:val="32"/>
          <w:szCs w:val="32"/>
          <w:lang w:val="sk-SK"/>
        </w:rPr>
        <w:t xml:space="preserve"> ZÁKAZU SEGREGÁCIE</w:t>
      </w:r>
    </w:p>
    <w:p w14:paraId="068C8867" w14:textId="639F01D2" w:rsidR="00DF79F6" w:rsidRPr="00B26179" w:rsidRDefault="00F04BCA" w:rsidP="00F04BC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  <w:r w:rsidRPr="00B26179">
        <w:rPr>
          <w:rFonts w:ascii="Times New Roman" w:hAnsi="Times New Roman" w:cs="Times New Roman"/>
          <w:b/>
          <w:bCs/>
          <w:sz w:val="32"/>
          <w:szCs w:val="32"/>
          <w:lang w:val="sk-SK"/>
        </w:rPr>
        <w:t>VO VÝCHOVE A VZDELÁVANÍ</w:t>
      </w:r>
    </w:p>
    <w:p w14:paraId="53F717B4" w14:textId="6615B87E" w:rsidR="00F04BCA" w:rsidRPr="00B26179" w:rsidRDefault="00F04BCA" w:rsidP="00F04BC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</w:p>
    <w:p w14:paraId="6A53A67E" w14:textId="26271F1E" w:rsidR="00F04BCA" w:rsidRPr="00B26179" w:rsidRDefault="00F04BCA" w:rsidP="00F04BC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</w:p>
    <w:p w14:paraId="45E19897" w14:textId="7AA7B8C3" w:rsidR="00F04BCA" w:rsidRPr="00B26179" w:rsidRDefault="00F04BCA" w:rsidP="00F04BC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</w:p>
    <w:p w14:paraId="0F67FDDD" w14:textId="0BE4EE4B" w:rsidR="00F04BCA" w:rsidRPr="00B26179" w:rsidRDefault="00F04BCA" w:rsidP="00F04BC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B26179">
        <w:rPr>
          <w:rFonts w:ascii="Times New Roman" w:hAnsi="Times New Roman" w:cs="Times New Roman"/>
          <w:b/>
          <w:bCs/>
          <w:sz w:val="32"/>
          <w:szCs w:val="32"/>
        </w:rPr>
        <w:t>školský</w:t>
      </w:r>
      <w:proofErr w:type="spellEnd"/>
      <w:r w:rsidRPr="00B2617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26179">
        <w:rPr>
          <w:rFonts w:ascii="Times New Roman" w:hAnsi="Times New Roman" w:cs="Times New Roman"/>
          <w:b/>
          <w:bCs/>
          <w:sz w:val="32"/>
          <w:szCs w:val="32"/>
        </w:rPr>
        <w:t>rok</w:t>
      </w:r>
      <w:proofErr w:type="spellEnd"/>
      <w:r w:rsidRPr="00B26179">
        <w:rPr>
          <w:rFonts w:ascii="Times New Roman" w:hAnsi="Times New Roman" w:cs="Times New Roman"/>
          <w:b/>
          <w:bCs/>
          <w:sz w:val="32"/>
          <w:szCs w:val="32"/>
        </w:rPr>
        <w:t xml:space="preserve"> 2024/2025</w:t>
      </w:r>
    </w:p>
    <w:p w14:paraId="689678ED" w14:textId="6FAA1973" w:rsidR="00F04BCA" w:rsidRPr="00B26179" w:rsidRDefault="00F04BCA" w:rsidP="00F04BC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B9F4C8E" w14:textId="5948E67C" w:rsidR="00F04BCA" w:rsidRDefault="00F04BCA" w:rsidP="00F04BCA">
      <w:pPr>
        <w:jc w:val="center"/>
      </w:pPr>
    </w:p>
    <w:p w14:paraId="5CBF0979" w14:textId="27DB4C69" w:rsidR="00F04BCA" w:rsidRDefault="00F04BCA" w:rsidP="00F04BCA">
      <w:pPr>
        <w:jc w:val="center"/>
      </w:pPr>
    </w:p>
    <w:p w14:paraId="230F2FBD" w14:textId="18A7261A" w:rsidR="00F04BCA" w:rsidRDefault="00F04BCA" w:rsidP="00F04BCA">
      <w:pPr>
        <w:jc w:val="center"/>
      </w:pPr>
    </w:p>
    <w:p w14:paraId="5F6D6F03" w14:textId="0448AF71" w:rsidR="00F04BCA" w:rsidRDefault="00F04BCA" w:rsidP="00F04BCA">
      <w:pPr>
        <w:jc w:val="center"/>
      </w:pPr>
    </w:p>
    <w:p w14:paraId="737F445C" w14:textId="746E741B" w:rsidR="00F04BCA" w:rsidRDefault="00F04BCA" w:rsidP="00F04BCA">
      <w:pPr>
        <w:jc w:val="center"/>
      </w:pPr>
    </w:p>
    <w:p w14:paraId="4C692539" w14:textId="78C5C775" w:rsidR="00F04BCA" w:rsidRDefault="00F04BCA" w:rsidP="00F04BCA">
      <w:pPr>
        <w:jc w:val="center"/>
      </w:pPr>
    </w:p>
    <w:p w14:paraId="5681C5D8" w14:textId="4B8FD080" w:rsidR="00F04BCA" w:rsidRDefault="00F04BCA" w:rsidP="00F04BCA">
      <w:pPr>
        <w:jc w:val="center"/>
      </w:pPr>
    </w:p>
    <w:p w14:paraId="673EA0F4" w14:textId="68B1A467" w:rsidR="00F04BCA" w:rsidRDefault="00F04BCA" w:rsidP="00F04BCA">
      <w:pPr>
        <w:jc w:val="center"/>
      </w:pPr>
    </w:p>
    <w:p w14:paraId="01FCF59D" w14:textId="6067349E" w:rsidR="00F04BCA" w:rsidRDefault="00F04BCA" w:rsidP="00F04BCA">
      <w:pPr>
        <w:jc w:val="center"/>
      </w:pPr>
    </w:p>
    <w:p w14:paraId="725A6E29" w14:textId="124106CB" w:rsidR="00F04BCA" w:rsidRDefault="00F04BCA" w:rsidP="00F04BCA">
      <w:pPr>
        <w:jc w:val="center"/>
      </w:pPr>
    </w:p>
    <w:p w14:paraId="63AE62CD" w14:textId="34113022" w:rsidR="00F04BCA" w:rsidRDefault="00F04BCA" w:rsidP="00F04BCA">
      <w:pPr>
        <w:jc w:val="center"/>
      </w:pPr>
    </w:p>
    <w:p w14:paraId="12706424" w14:textId="7CBE801B" w:rsidR="00F04BCA" w:rsidRDefault="00F04BCA" w:rsidP="00F04BCA">
      <w:pPr>
        <w:jc w:val="center"/>
      </w:pPr>
    </w:p>
    <w:p w14:paraId="33459381" w14:textId="0F3893E8" w:rsidR="00F04BCA" w:rsidRDefault="00F04BCA" w:rsidP="00F04BCA">
      <w:pPr>
        <w:jc w:val="center"/>
      </w:pPr>
    </w:p>
    <w:p w14:paraId="088EEF2C" w14:textId="6E7A0DD3" w:rsidR="00F04BCA" w:rsidRDefault="00F04BCA" w:rsidP="00F04BCA">
      <w:pPr>
        <w:jc w:val="center"/>
      </w:pPr>
    </w:p>
    <w:p w14:paraId="22C32229" w14:textId="33023585" w:rsidR="00F04BCA" w:rsidRDefault="00F04BCA" w:rsidP="00F04BCA">
      <w:pPr>
        <w:jc w:val="center"/>
      </w:pPr>
    </w:p>
    <w:p w14:paraId="686B1AEC" w14:textId="77777777" w:rsidR="00F04BCA" w:rsidRPr="00F04BCA" w:rsidRDefault="00F04BCA" w:rsidP="00B26179">
      <w:pPr>
        <w:keepNext/>
        <w:keepLines/>
        <w:spacing w:after="0"/>
        <w:ind w:left="2832" w:right="565" w:firstLine="708"/>
        <w:outlineLvl w:val="1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lastRenderedPageBreak/>
        <w:t>Článok</w:t>
      </w:r>
      <w:proofErr w:type="spellEnd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 1 </w:t>
      </w:r>
    </w:p>
    <w:p w14:paraId="6FF4BC9A" w14:textId="77777777" w:rsidR="00F04BCA" w:rsidRPr="00F04BCA" w:rsidRDefault="00F04BCA" w:rsidP="00F04BCA">
      <w:pPr>
        <w:spacing w:after="5" w:line="249" w:lineRule="auto"/>
        <w:ind w:left="10" w:right="567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Všeobecná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časť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1AF45D3A" w14:textId="77777777" w:rsidR="00F04BCA" w:rsidRPr="00F04BCA" w:rsidRDefault="00F04BCA" w:rsidP="00F04BCA">
      <w:pPr>
        <w:spacing w:after="0"/>
        <w:ind w:right="51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2BA94886" w14:textId="77777777" w:rsidR="00F04BCA" w:rsidRPr="00F04BCA" w:rsidRDefault="00F04BCA" w:rsidP="00F04BCA">
      <w:pPr>
        <w:spacing w:after="92" w:line="266" w:lineRule="auto"/>
        <w:ind w:left="19" w:right="126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dodržiavaní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zákazu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segregácie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výchove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vzdelávaní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školské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zariadenie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postupuje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podľa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Štandardov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dodržiavania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zákazu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segregácie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výchove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vzdelávaní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(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ďalej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len „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Štandardy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“),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ktoré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vydáva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MŠVVaM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SR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ich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znenie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je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súčasťou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dodatku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školského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poriadku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.  </w:t>
      </w:r>
    </w:p>
    <w:p w14:paraId="184FF6FA" w14:textId="77777777" w:rsidR="00F04BCA" w:rsidRPr="00F04BCA" w:rsidRDefault="00F04BCA" w:rsidP="00F04BCA">
      <w:pPr>
        <w:spacing w:after="85" w:line="267" w:lineRule="auto"/>
        <w:ind w:left="19" w:right="126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Štandardy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sú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základné</w:t>
      </w:r>
      <w:proofErr w:type="spellEnd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pravidlá</w:t>
      </w:r>
      <w:proofErr w:type="spellEnd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princípy</w:t>
      </w:r>
      <w:proofErr w:type="spellEnd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postupy</w:t>
      </w:r>
      <w:proofErr w:type="spellEnd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predchádzania</w:t>
      </w:r>
      <w:proofErr w:type="spellEnd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eliminácie</w:t>
      </w:r>
      <w:proofErr w:type="spellEnd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segregácie</w:t>
      </w:r>
      <w:proofErr w:type="spellEnd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vo</w:t>
      </w:r>
      <w:proofErr w:type="spellEnd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výchove</w:t>
      </w:r>
      <w:proofErr w:type="spellEnd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vzdelávaní</w:t>
      </w:r>
      <w:proofErr w:type="spellEnd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. </w:t>
      </w:r>
      <w:proofErr w:type="spellStart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Ich</w:t>
      </w:r>
      <w:proofErr w:type="spellEnd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uplatňovanie</w:t>
      </w:r>
      <w:proofErr w:type="spellEnd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prispieva</w:t>
      </w:r>
      <w:proofErr w:type="spellEnd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 k </w:t>
      </w:r>
      <w:proofErr w:type="spellStart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dodržiavaniu</w:t>
      </w:r>
      <w:proofErr w:type="spellEnd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princípov</w:t>
      </w:r>
      <w:proofErr w:type="spellEnd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výchovy</w:t>
      </w:r>
      <w:proofErr w:type="spellEnd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vzdelávania</w:t>
      </w:r>
      <w:proofErr w:type="spellEnd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podľa</w:t>
      </w:r>
      <w:proofErr w:type="spellEnd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školského</w:t>
      </w:r>
      <w:proofErr w:type="spellEnd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zákona</w:t>
      </w:r>
      <w:proofErr w:type="spellEnd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 v </w:t>
      </w:r>
      <w:proofErr w:type="spellStart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školách</w:t>
      </w:r>
      <w:proofErr w:type="spellEnd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školských</w:t>
      </w:r>
      <w:proofErr w:type="spellEnd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zariadeniach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.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Vychádzajú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z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ustanovení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Dohovoru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o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právach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dieťaťa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: </w:t>
      </w:r>
    </w:p>
    <w:p w14:paraId="4EC2946F" w14:textId="77777777" w:rsidR="00F04BCA" w:rsidRPr="00F04BCA" w:rsidRDefault="00F04BCA" w:rsidP="00F04BCA">
      <w:pPr>
        <w:spacing w:after="92" w:line="266" w:lineRule="auto"/>
        <w:ind w:left="19" w:right="126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Článok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2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ods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. 1: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Zabezpečiť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práva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ustanovené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týmto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Dohovorom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každému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dieťaťu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nachádzajúcemu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pod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ich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jurisdikciou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bez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akejkoľvek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diskriminácie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podľa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rasy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farby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pleti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pohlavia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jazyka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náboženstva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politického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alebo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iného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zmýšľania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národnostného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etnického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alebo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sociálneho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pôvodu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majetku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telesnej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alebo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duševnej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nespôsobilosti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rodu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iného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postavenia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dieťaťa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alebo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jeho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rodičov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alebo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zákonných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zástupcov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14:paraId="19C54855" w14:textId="77777777" w:rsidR="00F04BCA" w:rsidRPr="00F04BCA" w:rsidRDefault="00F04BCA" w:rsidP="00F04BCA">
      <w:pPr>
        <w:spacing w:after="92" w:line="266" w:lineRule="auto"/>
        <w:ind w:left="19" w:right="126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Článok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2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ods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. 2: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Urobiť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potrebné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opatrenia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na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to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aby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bolo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dieťa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chránené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pred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všetkými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formami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diskriminácie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alebo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trestania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ktoré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vyplývajú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z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postavenia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činnosti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vyjadrených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názorov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alebo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presvedčenia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jeho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rodičov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zákonných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zástupcov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alebo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členov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rodiny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.  </w:t>
      </w:r>
    </w:p>
    <w:p w14:paraId="4074AED5" w14:textId="77777777" w:rsidR="00F04BCA" w:rsidRPr="00F04BCA" w:rsidRDefault="00F04BCA" w:rsidP="00F04BCA">
      <w:pPr>
        <w:spacing w:after="92" w:line="266" w:lineRule="auto"/>
        <w:ind w:left="19" w:right="126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Článok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3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ods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. 1: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Záujem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dieťaťa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musí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byť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prvoradým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hľadiskom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akejkoľvek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činnosti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týkajúcej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detí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nech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už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uskutočňovanej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verejnými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alebo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súkromnými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zariadeniami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sociálnej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starostlivosti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súdmi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správnymi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alebo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zákonodarnými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orgánmi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14:paraId="576405EE" w14:textId="77777777" w:rsidR="00F04BCA" w:rsidRPr="00F04BCA" w:rsidRDefault="00F04BCA" w:rsidP="00F04BCA">
      <w:pPr>
        <w:spacing w:after="135" w:line="266" w:lineRule="auto"/>
        <w:ind w:left="19" w:right="126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Článok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29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ods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. 1: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Výchova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vzdelávanie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dieťaťa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má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smerovať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k: </w:t>
      </w:r>
    </w:p>
    <w:p w14:paraId="33447286" w14:textId="77777777" w:rsidR="00F04BCA" w:rsidRPr="00F04BCA" w:rsidRDefault="00F04BCA" w:rsidP="00F04BCA">
      <w:pPr>
        <w:numPr>
          <w:ilvl w:val="0"/>
          <w:numId w:val="1"/>
        </w:numPr>
        <w:spacing w:after="52" w:line="266" w:lineRule="auto"/>
        <w:ind w:left="428" w:right="126" w:hanging="2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rozvoju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osobnosti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dieťaťa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jeho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jedinečných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daností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duševných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fyzických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schopností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v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ich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najvyššej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možnej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miere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;  </w:t>
      </w:r>
    </w:p>
    <w:p w14:paraId="2E2DB0B1" w14:textId="56526C75" w:rsidR="00F04BCA" w:rsidRPr="00F04BCA" w:rsidRDefault="00F04BCA" w:rsidP="00B26179">
      <w:pPr>
        <w:numPr>
          <w:ilvl w:val="0"/>
          <w:numId w:val="1"/>
        </w:numPr>
        <w:spacing w:after="9" w:line="266" w:lineRule="auto"/>
        <w:ind w:left="428" w:right="126" w:hanging="2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rozvíjaniu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úcty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k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ľudským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právam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základným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slobodám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k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zásadám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zakotveným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v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Charte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Organizácie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Spojených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národov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;  </w:t>
      </w:r>
    </w:p>
    <w:p w14:paraId="29E03D2F" w14:textId="77777777" w:rsidR="00F04BCA" w:rsidRPr="00F04BCA" w:rsidRDefault="00F04BCA" w:rsidP="00F04BCA">
      <w:pPr>
        <w:numPr>
          <w:ilvl w:val="0"/>
          <w:numId w:val="1"/>
        </w:numPr>
        <w:spacing w:after="51" w:line="266" w:lineRule="auto"/>
        <w:ind w:left="428" w:right="126" w:hanging="2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rozvíjaniu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úcty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k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rodičom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k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vlastnej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kultúrnej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jazykovej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hodnotovej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identite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k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hodnotám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krajiny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v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ktorej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dieťa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žije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i k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hodnotám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krajiny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svojho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pôvodu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k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iným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kultúram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 </w:t>
      </w:r>
    </w:p>
    <w:p w14:paraId="1A980779" w14:textId="77777777" w:rsidR="00F04BCA" w:rsidRPr="00F04BCA" w:rsidRDefault="00F04BCA" w:rsidP="00F04BCA">
      <w:pPr>
        <w:numPr>
          <w:ilvl w:val="0"/>
          <w:numId w:val="1"/>
        </w:numPr>
        <w:spacing w:after="39" w:line="266" w:lineRule="auto"/>
        <w:ind w:left="428" w:right="126" w:hanging="2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príprave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dieťaťa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na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zodpovedný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život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v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slobodnej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spoločnosti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v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duchu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porozumenia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mieru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znášanlivosti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rovnosti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pohlaví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priateľstva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medzi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všetkými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národmi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etnickými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národnostnými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náboženskými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skupinami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osobami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domorodého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pôvodu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;  </w:t>
      </w:r>
    </w:p>
    <w:p w14:paraId="556366CD" w14:textId="73390878" w:rsidR="00F04BCA" w:rsidRPr="00F04BCA" w:rsidRDefault="00F04BCA" w:rsidP="00F04BCA">
      <w:pPr>
        <w:numPr>
          <w:ilvl w:val="0"/>
          <w:numId w:val="1"/>
        </w:numPr>
        <w:spacing w:after="267" w:line="266" w:lineRule="auto"/>
        <w:ind w:left="428" w:right="126" w:hanging="2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rozvíjaniu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úcty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k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prírodnému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prostrediu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.” </w:t>
      </w:r>
    </w:p>
    <w:p w14:paraId="616BA900" w14:textId="20C0D6AD" w:rsidR="00F04BCA" w:rsidRPr="00F04BCA" w:rsidRDefault="00F04BCA" w:rsidP="00F04BCA">
      <w:pPr>
        <w:spacing w:after="92" w:line="266" w:lineRule="auto"/>
        <w:ind w:left="19" w:right="126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Štandardy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dodržiavania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zákazu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segregácie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sú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rozpracovaním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realizáciou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praktickej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časti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Metodickej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príručky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desegregácie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výchove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vzdelávaní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14:paraId="7A3F5FBB" w14:textId="1E7F7901" w:rsidR="00F04BCA" w:rsidRPr="00F04BCA" w:rsidRDefault="00F04BCA" w:rsidP="00F04BCA">
      <w:pPr>
        <w:spacing w:after="101" w:line="274" w:lineRule="auto"/>
        <w:ind w:left="19" w:right="125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Štandardy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v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prepojení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na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metodickú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príručku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napomáhajú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naplneniu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princípu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„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zákazu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všetkých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foriem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diskriminácie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obzvlášť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segregácie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“</w:t>
      </w:r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.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Segregáciu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výchove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vzdelávaní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definuje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školský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zákon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nasledovne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: „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konanie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alebo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opomenutie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konania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ktoré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je v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rozpore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so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zásadou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rovnakého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zaobchádzania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podľa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osobitného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predpisu</w:t>
      </w:r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vertAlign w:val="superscript"/>
          <w:lang w:eastAsia="hu-HU"/>
        </w:rPr>
        <w:t>2a)</w:t>
      </w:r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a v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dôsledku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ktorého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dochádza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alebo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by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mohlo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dôjsť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 k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priestorovému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organizačnému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alebo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sociálnemu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vylúčeniu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skupiny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detí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žiakov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alebo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účastníkov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výchovy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vzdelávania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alebo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k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ich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oddelenému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lastRenderedPageBreak/>
        <w:t>vzdelávaniu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okrem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vzdelávania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poskytovaného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v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súlade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s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medzinárodnou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zmluvou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ktorou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je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Slovenská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republika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viazaná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pri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uplatňovaní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práv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národnostných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menšín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na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výchovu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vzdelanie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v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jazyku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príslušnej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národnostnej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menšiny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pri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vytváraní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podmienok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 na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vzdelávanie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detí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so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zdravotným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znevýhodnením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alebo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nadaním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žiakov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so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zdravotným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znevýhodnením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alebo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s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nadaním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so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zohľadnením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ich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vôle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záujmov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vôle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záujmov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ich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zákonných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zástupcov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ak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je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účasť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na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takom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vzdelávaní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voliteľná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zodpovedá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úprave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podmienok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výchovy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 a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vzdelávania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podľa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tohto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zákona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osobitne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pre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výchovu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vzdelávanie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na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rovnakom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stupni</w:t>
      </w:r>
      <w:proofErr w:type="spellEnd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i/>
          <w:color w:val="000000"/>
          <w:sz w:val="24"/>
          <w:szCs w:val="24"/>
          <w:lang w:eastAsia="hu-HU"/>
        </w:rPr>
        <w:t>vzdelania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.“ </w:t>
      </w:r>
    </w:p>
    <w:p w14:paraId="6C487700" w14:textId="77777777" w:rsidR="00F04BCA" w:rsidRPr="00F04BCA" w:rsidRDefault="00F04BCA" w:rsidP="00F04BCA">
      <w:pPr>
        <w:spacing w:after="51" w:line="266" w:lineRule="auto"/>
        <w:ind w:left="19" w:right="126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Štandardy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dodržiavania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zákazu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segregácie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výchove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vzdelávaní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týkajú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všetkých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oblastí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ktoré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upravuje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školský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poriadok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podľa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školského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zákona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(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Zákon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č. 245/2008 Z. z., § 153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ods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. 1):  </w:t>
      </w:r>
    </w:p>
    <w:p w14:paraId="330A34C2" w14:textId="77777777" w:rsidR="00F04BCA" w:rsidRPr="00F04BCA" w:rsidRDefault="00F04BCA" w:rsidP="00F04BCA">
      <w:pPr>
        <w:numPr>
          <w:ilvl w:val="0"/>
          <w:numId w:val="2"/>
        </w:numPr>
        <w:spacing w:after="51" w:line="266" w:lineRule="auto"/>
        <w:ind w:left="428" w:right="126" w:hanging="2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výkon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práv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povinností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žiakov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ich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zákonných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zástupcov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v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pravidlá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vzájomných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vzťahov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vzťahov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s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pedagogickými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zamestnancami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ďalšími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zamestnancami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</w:p>
    <w:p w14:paraId="2996D6C3" w14:textId="77777777" w:rsidR="00F04BCA" w:rsidRPr="00F04BCA" w:rsidRDefault="00F04BCA" w:rsidP="00F04BCA">
      <w:pPr>
        <w:numPr>
          <w:ilvl w:val="0"/>
          <w:numId w:val="2"/>
        </w:numPr>
        <w:spacing w:after="51" w:line="266" w:lineRule="auto"/>
        <w:ind w:left="428" w:right="126" w:hanging="2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prevádzka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vnútorný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režim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</w:p>
    <w:p w14:paraId="1AB9B9FA" w14:textId="77777777" w:rsidR="00F04BCA" w:rsidRPr="00F04BCA" w:rsidRDefault="00F04BCA" w:rsidP="00F04BCA">
      <w:pPr>
        <w:numPr>
          <w:ilvl w:val="0"/>
          <w:numId w:val="2"/>
        </w:numPr>
        <w:spacing w:after="51" w:line="266" w:lineRule="auto"/>
        <w:ind w:left="428" w:right="126" w:hanging="2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podmienky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na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zaistenie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bezpečnosti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ochrany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zdravia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detí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žiakov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ich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ochrany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pred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sociálnopatologickými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javmi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diskrimináciou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alebo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násilím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</w:p>
    <w:p w14:paraId="62207C11" w14:textId="77777777" w:rsidR="00F04BCA" w:rsidRPr="00F04BCA" w:rsidRDefault="00F04BCA" w:rsidP="00F04BCA">
      <w:pPr>
        <w:numPr>
          <w:ilvl w:val="0"/>
          <w:numId w:val="2"/>
        </w:numPr>
        <w:spacing w:after="92" w:line="266" w:lineRule="auto"/>
        <w:ind w:left="428" w:right="126" w:hanging="2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podmienky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nakladania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s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majetkom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ktorý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alebo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školské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zariadenie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spravuje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ak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tak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rozhodne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zriaďovateľ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14:paraId="134486A0" w14:textId="77777777" w:rsidR="00F04BCA" w:rsidRPr="00F04BCA" w:rsidRDefault="00F04BCA" w:rsidP="00F04BCA">
      <w:pPr>
        <w:spacing w:after="92" w:line="266" w:lineRule="auto"/>
        <w:ind w:left="19" w:right="126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Štandardy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dodržiavania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zákazu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segregácie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výchove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vzdelávaní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definujeme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ako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Štandardy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postojov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hodnôt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Štandardy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vyplývajúce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z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definície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segregácie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výchove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vzdelávaní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14:paraId="46ED518F" w14:textId="77777777" w:rsidR="00F04BCA" w:rsidRPr="00F04BCA" w:rsidRDefault="00F04BCA" w:rsidP="00F04BCA">
      <w:pPr>
        <w:spacing w:after="55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195EC5F3" w14:textId="77777777" w:rsidR="00F04BCA" w:rsidRPr="00F04BCA" w:rsidRDefault="00F04BCA" w:rsidP="00F04BCA">
      <w:pPr>
        <w:keepNext/>
        <w:keepLines/>
        <w:spacing w:after="0"/>
        <w:ind w:left="10" w:right="565" w:hanging="10"/>
        <w:jc w:val="center"/>
        <w:outlineLvl w:val="1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Článok</w:t>
      </w:r>
      <w:proofErr w:type="spellEnd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 2 </w:t>
      </w:r>
    </w:p>
    <w:p w14:paraId="63DCBD70" w14:textId="77777777" w:rsidR="00F04BCA" w:rsidRPr="00F04BCA" w:rsidRDefault="00F04BCA" w:rsidP="00F04BCA">
      <w:pPr>
        <w:spacing w:after="0" w:line="268" w:lineRule="auto"/>
        <w:ind w:left="1472" w:right="130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Štandardy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dodržiavania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zákazu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segregácie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výchove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vzdelávaní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265C5A70" w14:textId="77777777" w:rsidR="00F04BCA" w:rsidRPr="00F04BCA" w:rsidRDefault="00F04BCA" w:rsidP="00F04BCA">
      <w:pPr>
        <w:spacing w:after="60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400651FB" w14:textId="77777777" w:rsidR="00F04BCA" w:rsidRPr="00F04BCA" w:rsidRDefault="00F04BCA" w:rsidP="00F04BCA">
      <w:pPr>
        <w:spacing w:after="85" w:line="267" w:lineRule="auto"/>
        <w:ind w:left="19" w:right="126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Štandardy</w:t>
      </w:r>
      <w:proofErr w:type="spellEnd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postojov</w:t>
      </w:r>
      <w:proofErr w:type="spellEnd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hodnôt</w:t>
      </w:r>
      <w:proofErr w:type="spellEnd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</w:p>
    <w:p w14:paraId="4D83D51D" w14:textId="77777777" w:rsidR="00F04BCA" w:rsidRPr="00F04BCA" w:rsidRDefault="00F04BCA" w:rsidP="00F04BCA">
      <w:pPr>
        <w:spacing w:after="88" w:line="268" w:lineRule="auto"/>
        <w:ind w:left="10" w:right="130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Základným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predpokladom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úspešné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zavedenie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štandardov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ktoré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zabezpečia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proces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prevencie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či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odstraňovania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segregácie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výchove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vzdelávaní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je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zásadný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posun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v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oblasti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postojového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hodnotového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nastavenia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kultivácie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verejného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diskurzu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medziľudských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vzťahov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všetkých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aktérov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vzdelávania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ktorí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prichádzajú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na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pôde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škôl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kontaktu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žiakmi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poslucháčmi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.  </w:t>
      </w:r>
    </w:p>
    <w:p w14:paraId="55938596" w14:textId="33E976CE" w:rsidR="00F04BCA" w:rsidRPr="00F04BCA" w:rsidRDefault="00F04BCA" w:rsidP="00F04BCA">
      <w:pPr>
        <w:spacing w:after="50" w:line="268" w:lineRule="auto"/>
        <w:ind w:left="10" w:right="130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Spoločnosť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21.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storočia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potrebuje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občanov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ktorí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majú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také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hodnoty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postoje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schopnosti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poznanie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kritické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myslenie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aby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mohli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fungovať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ako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demokratickí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interkultúrne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kompetentní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občania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.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Postojové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hodnotové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štandardy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sú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definované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na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základe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kľúčových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ukazovateľov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(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deskriptorov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),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ktoré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boli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vytvorené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Radou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Európy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v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dokumente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Referenčný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rámec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kompetencií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demokratickú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kultúru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.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Deskriptory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sú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popisy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vysvetlenia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týkajúce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konkrétneho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žiadúceho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správania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všetkých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aktérov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vzdelávaní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:  </w:t>
      </w:r>
    </w:p>
    <w:p w14:paraId="1778B358" w14:textId="77777777" w:rsidR="00F04BCA" w:rsidRPr="00F04BCA" w:rsidRDefault="00F04BCA" w:rsidP="009842EB">
      <w:pPr>
        <w:numPr>
          <w:ilvl w:val="0"/>
          <w:numId w:val="10"/>
        </w:numPr>
        <w:spacing w:after="50" w:line="268" w:lineRule="auto"/>
        <w:ind w:right="130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Zaobchádzať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všetkými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ľuďmi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bez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rozdielu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s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rešpektom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 </w:t>
      </w:r>
    </w:p>
    <w:p w14:paraId="0C85075F" w14:textId="77777777" w:rsidR="00F04BCA" w:rsidRPr="00F04BCA" w:rsidRDefault="00F04BCA" w:rsidP="009842EB">
      <w:pPr>
        <w:numPr>
          <w:ilvl w:val="0"/>
          <w:numId w:val="10"/>
        </w:numPr>
        <w:spacing w:after="50" w:line="268" w:lineRule="auto"/>
        <w:ind w:right="130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Vyjadrovať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úctu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všetkým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bez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rozdielu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vnímať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rozmanitosť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ako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príležitosť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prínos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príprave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realizovaní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aktivít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výchovno-vzdelávacieho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procesu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.  </w:t>
      </w:r>
    </w:p>
    <w:p w14:paraId="6678772A" w14:textId="77777777" w:rsidR="00F04BCA" w:rsidRPr="00F04BCA" w:rsidRDefault="00F04BCA" w:rsidP="009842EB">
      <w:pPr>
        <w:numPr>
          <w:ilvl w:val="0"/>
          <w:numId w:val="10"/>
        </w:numPr>
        <w:spacing w:after="50" w:line="268" w:lineRule="auto"/>
        <w:ind w:right="130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Vyjadrovať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druhým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ľuďom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uznanie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ako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rovnocenným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ľudským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bytostiam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14:paraId="3680742E" w14:textId="77777777" w:rsidR="00F04BCA" w:rsidRPr="00F04BCA" w:rsidRDefault="00F04BCA" w:rsidP="009842EB">
      <w:pPr>
        <w:numPr>
          <w:ilvl w:val="0"/>
          <w:numId w:val="10"/>
        </w:numPr>
        <w:spacing w:after="50" w:line="268" w:lineRule="auto"/>
        <w:ind w:right="130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Rešpektovať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ľudí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rôzneho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vierovyznania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.  </w:t>
      </w:r>
    </w:p>
    <w:p w14:paraId="78F5CE17" w14:textId="77777777" w:rsidR="00F04BCA" w:rsidRPr="00F04BCA" w:rsidRDefault="00F04BCA" w:rsidP="009842EB">
      <w:pPr>
        <w:numPr>
          <w:ilvl w:val="0"/>
          <w:numId w:val="10"/>
        </w:numPr>
        <w:spacing w:after="50" w:line="268" w:lineRule="auto"/>
        <w:ind w:right="130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lastRenderedPageBreak/>
        <w:t>Rešpektovať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ľudí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ktorí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majú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odlišné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politické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názory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14:paraId="08F05034" w14:textId="77777777" w:rsidR="00F04BCA" w:rsidRPr="00F04BCA" w:rsidRDefault="00F04BCA" w:rsidP="009842EB">
      <w:pPr>
        <w:numPr>
          <w:ilvl w:val="0"/>
          <w:numId w:val="10"/>
        </w:numPr>
        <w:spacing w:after="50" w:line="268" w:lineRule="auto"/>
        <w:ind w:right="130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Prejavovať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záujem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spoznať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presvedčenia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hodnoty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tradície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pohľady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druhých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ľudí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na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svet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14:paraId="06419A82" w14:textId="77777777" w:rsidR="00F04BCA" w:rsidRPr="00F04BCA" w:rsidRDefault="00F04BCA" w:rsidP="009842EB">
      <w:pPr>
        <w:numPr>
          <w:ilvl w:val="0"/>
          <w:numId w:val="10"/>
        </w:numPr>
        <w:spacing w:after="50" w:line="268" w:lineRule="auto"/>
        <w:ind w:right="130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Dávať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priestor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druhým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ľuďom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na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vyjadrenie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.  </w:t>
      </w:r>
    </w:p>
    <w:p w14:paraId="1DD128DF" w14:textId="77777777" w:rsidR="00F04BCA" w:rsidRPr="00F04BCA" w:rsidRDefault="00F04BCA" w:rsidP="009842EB">
      <w:pPr>
        <w:numPr>
          <w:ilvl w:val="0"/>
          <w:numId w:val="10"/>
        </w:numPr>
        <w:spacing w:after="50" w:line="268" w:lineRule="auto"/>
        <w:ind w:right="130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Preukázať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prebratie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zodpovednosti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svoje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skutky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.  </w:t>
      </w:r>
    </w:p>
    <w:p w14:paraId="7C19BCF6" w14:textId="77777777" w:rsidR="00F04BCA" w:rsidRPr="00F04BCA" w:rsidRDefault="00F04BCA" w:rsidP="009842EB">
      <w:pPr>
        <w:numPr>
          <w:ilvl w:val="0"/>
          <w:numId w:val="10"/>
        </w:numPr>
        <w:spacing w:after="50" w:line="268" w:lineRule="auto"/>
        <w:ind w:right="130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Ospravedlniť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pokiaľ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niekomu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ublížim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14:paraId="0273344A" w14:textId="77777777" w:rsidR="00F04BCA" w:rsidRPr="00F04BCA" w:rsidRDefault="00F04BCA" w:rsidP="009842EB">
      <w:pPr>
        <w:numPr>
          <w:ilvl w:val="0"/>
          <w:numId w:val="10"/>
        </w:numPr>
        <w:spacing w:after="85" w:line="268" w:lineRule="auto"/>
        <w:ind w:right="130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Vyjadrovať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vôľu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záujem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spolupracovať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pracovať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s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druhými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ľuďmi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na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presadzovaní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spoločných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záujmov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14:paraId="18A9A55F" w14:textId="77777777" w:rsidR="00F04BCA" w:rsidRPr="00F04BCA" w:rsidRDefault="00F04BCA" w:rsidP="00F04BCA">
      <w:pPr>
        <w:spacing w:after="107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</w:p>
    <w:p w14:paraId="3F39E09E" w14:textId="77777777" w:rsidR="00F04BCA" w:rsidRPr="00F04BCA" w:rsidRDefault="00F04BCA" w:rsidP="00F04BCA">
      <w:pPr>
        <w:spacing w:after="120" w:line="267" w:lineRule="auto"/>
        <w:ind w:left="19" w:right="126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Štandardy</w:t>
      </w:r>
      <w:proofErr w:type="spellEnd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vyplývajúce</w:t>
      </w:r>
      <w:proofErr w:type="spellEnd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 z </w:t>
      </w:r>
      <w:proofErr w:type="spellStart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definície</w:t>
      </w:r>
      <w:proofErr w:type="spellEnd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segregácie</w:t>
      </w:r>
      <w:proofErr w:type="spellEnd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vo</w:t>
      </w:r>
      <w:proofErr w:type="spellEnd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výchove</w:t>
      </w:r>
      <w:proofErr w:type="spellEnd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vzdelávaní</w:t>
      </w:r>
      <w:proofErr w:type="spellEnd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: </w:t>
      </w:r>
    </w:p>
    <w:p w14:paraId="2A6AD33C" w14:textId="14673EFB" w:rsidR="00F04BCA" w:rsidRPr="00F04BCA" w:rsidRDefault="00F04BCA" w:rsidP="00F04BCA">
      <w:pPr>
        <w:numPr>
          <w:ilvl w:val="0"/>
          <w:numId w:val="3"/>
        </w:numPr>
        <w:spacing w:after="21" w:line="268" w:lineRule="auto"/>
        <w:ind w:left="576" w:right="130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školské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zariadenie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uplatňovaní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Štandardov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dodržiavania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zákazu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segregácie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vypracuje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Plán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uplatňovania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Štandardov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dodržiavania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zákazu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segregácie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výchove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vzdelávaní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využíva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Metodickú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príručku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desegregácie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výchove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vzdelávaní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vydanú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Ministerstvom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školstva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vedy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výskumu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športu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SR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14:paraId="5F36635C" w14:textId="77777777" w:rsidR="00F04BCA" w:rsidRPr="00F04BCA" w:rsidRDefault="00F04BCA" w:rsidP="00F04BCA">
      <w:pPr>
        <w:spacing w:after="70"/>
        <w:ind w:left="566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448EB3F6" w14:textId="77777777" w:rsidR="00F04BCA" w:rsidRPr="00F04BCA" w:rsidRDefault="00F04BCA" w:rsidP="00F04BCA">
      <w:pPr>
        <w:numPr>
          <w:ilvl w:val="0"/>
          <w:numId w:val="4"/>
        </w:numPr>
        <w:spacing w:after="41" w:line="267" w:lineRule="auto"/>
        <w:ind w:right="126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Štandardy</w:t>
      </w:r>
      <w:proofErr w:type="spellEnd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priestorovej</w:t>
      </w:r>
      <w:proofErr w:type="spellEnd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desegregácie</w:t>
      </w:r>
      <w:proofErr w:type="spellEnd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: </w:t>
      </w:r>
    </w:p>
    <w:p w14:paraId="319AC1A7" w14:textId="4EED44AF" w:rsidR="00F04BCA" w:rsidRPr="00F04BCA" w:rsidRDefault="00F04BCA" w:rsidP="00F04BCA">
      <w:pPr>
        <w:numPr>
          <w:ilvl w:val="1"/>
          <w:numId w:val="4"/>
        </w:numPr>
        <w:spacing w:after="50" w:line="268" w:lineRule="auto"/>
        <w:ind w:right="130" w:hanging="28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všetkých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priestorov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alebo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školského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zariadenia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určených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žiakov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alebo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poslucháčov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je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umožnený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rovný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(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nediskriminačný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)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prístup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všetkým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žiakom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poslucháčom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.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alebo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školské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zariadenie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nemá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priestory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budovy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vyhradené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jednotlivé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skupiny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žiakov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vytvorené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účelom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ich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vylučovania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alebo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neprípustného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oddeľovania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na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základe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ktoréhokoľvek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chráneného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dôvodu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uvedeného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v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antidiskriminačnom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zákone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.  </w:t>
      </w:r>
    </w:p>
    <w:p w14:paraId="190402FB" w14:textId="77777777" w:rsidR="00F04BCA" w:rsidRPr="00F04BCA" w:rsidRDefault="00F04BCA" w:rsidP="00F04BCA">
      <w:pPr>
        <w:numPr>
          <w:ilvl w:val="1"/>
          <w:numId w:val="4"/>
        </w:numPr>
        <w:spacing w:after="50" w:line="268" w:lineRule="auto"/>
        <w:ind w:right="130" w:hanging="28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alebo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školské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zariadenie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v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rámci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výchovno-vzdelávacieho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procesu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využíva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priestory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ktoré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spĺňajú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normy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stanovené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regionálnymi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úradmi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verejného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zdravotníctva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pričom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výchovno-vzdelávací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proces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žiadnej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skupín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neprebieha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v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priestoroch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ktorých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kvalita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je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výrazne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rozdielna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oproti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iným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priestorom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.  </w:t>
      </w:r>
    </w:p>
    <w:p w14:paraId="49F30C75" w14:textId="77777777" w:rsidR="00F04BCA" w:rsidRPr="00F04BCA" w:rsidRDefault="00F04BCA" w:rsidP="00F04BCA">
      <w:pPr>
        <w:numPr>
          <w:ilvl w:val="1"/>
          <w:numId w:val="4"/>
        </w:numPr>
        <w:spacing w:after="8" w:line="268" w:lineRule="auto"/>
        <w:ind w:right="130" w:hanging="28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Ak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má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alebo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školské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zariadenie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v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jednotlivých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vekových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kohortách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zastúpenie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žiakov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rôzneho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etnického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národného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alebo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sociálneho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pôvodu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farby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pleti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alebo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iného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chráneného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dôvodu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podľa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antidiskriminačného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zákona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má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vytvorené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triedy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v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ktorých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je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vyvážené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zastúpenie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žiakov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alebo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poslucháčov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týchto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skupín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14:paraId="0C31C3F7" w14:textId="77777777" w:rsidR="00F04BCA" w:rsidRPr="00F04BCA" w:rsidRDefault="00F04BCA" w:rsidP="00F04BCA">
      <w:pPr>
        <w:spacing w:after="68"/>
        <w:ind w:left="566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6C379DF0" w14:textId="77777777" w:rsidR="00F04BCA" w:rsidRPr="00F04BCA" w:rsidRDefault="00F04BCA" w:rsidP="00F04BCA">
      <w:pPr>
        <w:numPr>
          <w:ilvl w:val="0"/>
          <w:numId w:val="4"/>
        </w:numPr>
        <w:spacing w:after="42" w:line="267" w:lineRule="auto"/>
        <w:ind w:right="126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Štandardy</w:t>
      </w:r>
      <w:proofErr w:type="spellEnd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organizačnej</w:t>
      </w:r>
      <w:proofErr w:type="spellEnd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desegregácie</w:t>
      </w:r>
      <w:proofErr w:type="spellEnd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: </w:t>
      </w:r>
    </w:p>
    <w:p w14:paraId="2CB2FDC5" w14:textId="3166C701" w:rsidR="00F04BCA" w:rsidRPr="00F04BCA" w:rsidRDefault="00F04BCA" w:rsidP="00F04BCA">
      <w:pPr>
        <w:numPr>
          <w:ilvl w:val="1"/>
          <w:numId w:val="4"/>
        </w:numPr>
        <w:spacing w:after="75" w:line="268" w:lineRule="auto"/>
        <w:ind w:right="130" w:hanging="28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alebo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školské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zariadenie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má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nastavenú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organizáciu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školského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vyučovania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denný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program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tak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aby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nedochádzalo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k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vylučovaniu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neprípustnému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oddeľovaniu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niektorej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skupiny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žiakov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poslucháčov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14:paraId="69BE3286" w14:textId="7797C4D6" w:rsidR="00F04BCA" w:rsidRPr="00F04BCA" w:rsidRDefault="00F04BCA" w:rsidP="00F04BCA">
      <w:pPr>
        <w:numPr>
          <w:ilvl w:val="1"/>
          <w:numId w:val="4"/>
        </w:numPr>
        <w:spacing w:after="63" w:line="266" w:lineRule="auto"/>
        <w:ind w:right="130" w:hanging="28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Všetky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skupiny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žiakov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školského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zariadenia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majú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stanovené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rovnaké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vzdelávacie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štandardy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na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základe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ktorých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pedagogickí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zamestnanci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odborní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zamestnanci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ďalší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zamestnanci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vytvárajú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učebné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osnovy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školského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vzdelávacieho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programu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.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Úpravy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je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možné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realizovať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len u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žiakov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ktorým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to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určuje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individuálny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vzdelávací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program,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individuálny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učebný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plán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alebo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poskytnuté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podporné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opatrenia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14:paraId="40A53537" w14:textId="77777777" w:rsidR="00F04BCA" w:rsidRPr="00F04BCA" w:rsidRDefault="00F04BCA" w:rsidP="00F04BCA">
      <w:pPr>
        <w:numPr>
          <w:ilvl w:val="1"/>
          <w:numId w:val="4"/>
        </w:numPr>
        <w:spacing w:after="50" w:line="268" w:lineRule="auto"/>
        <w:ind w:right="130" w:hanging="28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lastRenderedPageBreak/>
        <w:t>Všetky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skupiny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žiakov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poslucháčov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majú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umožnený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rovný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prístup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k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materiálno-technickému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vybaveniu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učebným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materiálom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iným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vzdelávacím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pomôckam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výchovno-vzdelávacieho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procesu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prislúchajúcemu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danému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ročníku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alebo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stupňu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vzdelávania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14:paraId="1CF76675" w14:textId="050F6A62" w:rsidR="00F04BCA" w:rsidRPr="00F04BCA" w:rsidRDefault="00F04BCA" w:rsidP="00F04BCA">
      <w:pPr>
        <w:numPr>
          <w:ilvl w:val="1"/>
          <w:numId w:val="4"/>
        </w:numPr>
        <w:spacing w:after="8" w:line="268" w:lineRule="auto"/>
        <w:ind w:right="130" w:hanging="28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alebo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školské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zariadenie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je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povinné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využiť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všetky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dostupné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prostriedky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nástroje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metódy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aby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umožnila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prístup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ku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vzdelávaniu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v maximálnej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miere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všetkým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skupinám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žiakov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aj v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prípade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krízových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udalostí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v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ukončení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krízovej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udalosti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je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povinná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realizovať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príslušné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podporné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opatrenia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na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kompenzáciu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prípadných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výpadkov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výchove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vzdelávaní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ktoré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nemohli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byť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v maximálnej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miere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riešené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počas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krízovej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situácie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14:paraId="5A226A6C" w14:textId="77777777" w:rsidR="00F04BCA" w:rsidRPr="00F04BCA" w:rsidRDefault="00F04BCA" w:rsidP="00F04BCA">
      <w:pPr>
        <w:spacing w:after="68"/>
        <w:ind w:left="708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75599BDB" w14:textId="77777777" w:rsidR="00F04BCA" w:rsidRPr="00F04BCA" w:rsidRDefault="00F04BCA" w:rsidP="00F04BCA">
      <w:pPr>
        <w:numPr>
          <w:ilvl w:val="0"/>
          <w:numId w:val="4"/>
        </w:numPr>
        <w:spacing w:after="41" w:line="267" w:lineRule="auto"/>
        <w:ind w:right="126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Štandardy</w:t>
      </w:r>
      <w:proofErr w:type="spellEnd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sociálnej</w:t>
      </w:r>
      <w:proofErr w:type="spellEnd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desegregácie</w:t>
      </w:r>
      <w:proofErr w:type="spellEnd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</w:p>
    <w:p w14:paraId="09BD0C9C" w14:textId="77777777" w:rsidR="00F04BCA" w:rsidRPr="00F04BCA" w:rsidRDefault="00F04BCA" w:rsidP="00F04BCA">
      <w:pPr>
        <w:numPr>
          <w:ilvl w:val="1"/>
          <w:numId w:val="4"/>
        </w:numPr>
        <w:spacing w:after="50" w:line="268" w:lineRule="auto"/>
        <w:ind w:right="130" w:hanging="28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alebo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školské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zariadenie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využíva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potrebné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dostupné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inkluzívne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podporné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opatrenia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 na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podporu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sociálneho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začlenenia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žiakov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poslucháčov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vytváranie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pozitívnej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podporujúcej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sociálnej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klímy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v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školskom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zariadení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ktorá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prispieva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k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destigmatizácii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odstraňovaniu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stereotypov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predsudkov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14:paraId="34996D74" w14:textId="77777777" w:rsidR="00F04BCA" w:rsidRPr="00F04BCA" w:rsidRDefault="00F04BCA" w:rsidP="00F04BCA">
      <w:pPr>
        <w:numPr>
          <w:ilvl w:val="1"/>
          <w:numId w:val="4"/>
        </w:numPr>
        <w:spacing w:after="50" w:line="268" w:lineRule="auto"/>
        <w:ind w:right="130" w:hanging="28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alebo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školské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zariadenie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organizuje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podporuje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programy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neformálneho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vzdelávania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mimoškolské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aktivity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smerujúce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k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vytvoreniu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priaznivej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sociálnej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klímy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interkultúrneho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porozumenia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v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rámci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alebo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školského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zariadenia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medzi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žiakmi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ako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aj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rodičmi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14:paraId="7D08B821" w14:textId="77777777" w:rsidR="00F04BCA" w:rsidRPr="00F04BCA" w:rsidRDefault="00F04BCA" w:rsidP="00F04BCA">
      <w:pPr>
        <w:numPr>
          <w:ilvl w:val="1"/>
          <w:numId w:val="4"/>
        </w:numPr>
        <w:spacing w:after="40" w:line="266" w:lineRule="auto"/>
        <w:ind w:right="130" w:hanging="28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alebo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školské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zariadenie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prijíma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vzdeláva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vychováva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všetky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skupiny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žiakov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poslucháčov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podľa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platných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právnych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predpisov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bez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vylučovania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neprípustného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oddeľovania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na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základe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akéhokoľvek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chráneného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dôvodu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uvedeného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v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antidiskriminačnom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zákone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.  </w:t>
      </w:r>
    </w:p>
    <w:p w14:paraId="528CC4A5" w14:textId="77777777" w:rsidR="00F04BCA" w:rsidRPr="00F04BCA" w:rsidRDefault="00F04BCA" w:rsidP="00F04BCA">
      <w:pPr>
        <w:numPr>
          <w:ilvl w:val="1"/>
          <w:numId w:val="4"/>
        </w:numPr>
        <w:spacing w:after="50" w:line="268" w:lineRule="auto"/>
        <w:ind w:right="130" w:hanging="28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V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alebo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školskom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zariadení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neexistujú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procesy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postupy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usporiadania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(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ani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na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úrovni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tried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),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ktoré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vylučujú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alebo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neprípustne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oddeľujú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skupiny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žiakov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alebo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poslucháčov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na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základe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akéhokoľvek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chráneného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dôvodu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uvedeného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v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antidiskriminačnom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zákone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14:paraId="7D60D51D" w14:textId="77777777" w:rsidR="00F04BCA" w:rsidRPr="00F04BCA" w:rsidRDefault="00F04BCA" w:rsidP="00F04BCA">
      <w:pPr>
        <w:numPr>
          <w:ilvl w:val="1"/>
          <w:numId w:val="4"/>
        </w:numPr>
        <w:spacing w:after="50" w:line="268" w:lineRule="auto"/>
        <w:ind w:right="130" w:hanging="28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alebo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školské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zariadenie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umožňuje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všetkým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skupinám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žiakov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poslucháčov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aby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napĺňanie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rozvoj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svojho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potenciálu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zapájali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aktivít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súťaží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ktoré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sama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organizuje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alebo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sú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školskému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zariadeniu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sprostredkované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,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aktívne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ich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k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tomu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motivuje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podporuje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14:paraId="06DCBE50" w14:textId="77777777" w:rsidR="00F04BCA" w:rsidRPr="00F04BCA" w:rsidRDefault="00F04BCA" w:rsidP="00F04BCA">
      <w:pPr>
        <w:numPr>
          <w:ilvl w:val="1"/>
          <w:numId w:val="4"/>
        </w:numPr>
        <w:spacing w:after="116" w:line="268" w:lineRule="auto"/>
        <w:ind w:right="130" w:hanging="28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alebo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školské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zariadenie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hodnotení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žiakov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alebo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poslucháčov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nekoná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diskriminačne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 len na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základe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ich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príslušnosti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k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niektorej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sociálnej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alebo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etnickej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skupine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alebo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iného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chráneného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dôvodu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podľa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antidiskriminačného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zákona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14:paraId="5D7DB171" w14:textId="13205A41" w:rsidR="00F04BCA" w:rsidRDefault="00F04BCA" w:rsidP="00F04BCA">
      <w:pPr>
        <w:spacing w:after="14"/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</w:pPr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5B332A6E" w14:textId="54EFAE5A" w:rsidR="00B04D03" w:rsidRDefault="00B04D03" w:rsidP="00F04BCA">
      <w:pPr>
        <w:spacing w:after="14"/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</w:pPr>
    </w:p>
    <w:p w14:paraId="0A009E39" w14:textId="54C296EB" w:rsidR="00B04D03" w:rsidRDefault="00B04D03" w:rsidP="00F04BCA">
      <w:pPr>
        <w:spacing w:after="14"/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</w:pPr>
    </w:p>
    <w:p w14:paraId="4824A7A3" w14:textId="413FF221" w:rsidR="00B04D03" w:rsidRDefault="00B04D03" w:rsidP="00F04BCA">
      <w:pPr>
        <w:spacing w:after="14"/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</w:pPr>
    </w:p>
    <w:p w14:paraId="4D38B4A1" w14:textId="137659C2" w:rsidR="00B04D03" w:rsidRDefault="00B04D03" w:rsidP="00F04BCA">
      <w:pPr>
        <w:spacing w:after="14"/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</w:pPr>
    </w:p>
    <w:p w14:paraId="3E5E3614" w14:textId="3F4D657F" w:rsidR="00B04D03" w:rsidRDefault="00B04D03" w:rsidP="00F04BCA">
      <w:pPr>
        <w:spacing w:after="14"/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</w:pPr>
    </w:p>
    <w:p w14:paraId="173B96E0" w14:textId="77777777" w:rsidR="00B04D03" w:rsidRPr="00F04BCA" w:rsidRDefault="00B04D03" w:rsidP="00F04BCA">
      <w:pPr>
        <w:spacing w:after="14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14:paraId="3A0D2699" w14:textId="77777777" w:rsidR="00F04BCA" w:rsidRPr="00F04BCA" w:rsidRDefault="00F04BCA" w:rsidP="00F04BCA">
      <w:pPr>
        <w:keepNext/>
        <w:keepLines/>
        <w:spacing w:after="0"/>
        <w:ind w:left="10" w:right="135" w:hanging="10"/>
        <w:jc w:val="center"/>
        <w:outlineLvl w:val="1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lastRenderedPageBreak/>
        <w:t>Článok</w:t>
      </w:r>
      <w:proofErr w:type="spellEnd"/>
      <w:r w:rsidRPr="00F04BCA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 13 </w:t>
      </w:r>
    </w:p>
    <w:p w14:paraId="258EA0AA" w14:textId="77777777" w:rsidR="00F04BCA" w:rsidRPr="00F04BCA" w:rsidRDefault="00F04BCA" w:rsidP="00F04BCA">
      <w:pPr>
        <w:spacing w:after="5" w:line="249" w:lineRule="auto"/>
        <w:ind w:left="10" w:right="140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Záverečné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ustanovenie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6BB64E81" w14:textId="77777777" w:rsidR="00F04BCA" w:rsidRPr="00F04BCA" w:rsidRDefault="00F04BCA" w:rsidP="00F04BCA">
      <w:pPr>
        <w:spacing w:after="50"/>
        <w:ind w:left="182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4BEEA645" w14:textId="12E3601B" w:rsidR="00F04BCA" w:rsidRPr="00F04BCA" w:rsidRDefault="00F04BCA" w:rsidP="00F04BCA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Tento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dodatok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je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platný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v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plnom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rozsahu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od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45736B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1</w:t>
      </w:r>
      <w:r w:rsidR="00B04D03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0</w:t>
      </w:r>
      <w:r w:rsidR="00B26179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.03.</w:t>
      </w:r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2025 </w:t>
      </w:r>
    </w:p>
    <w:p w14:paraId="1D6D8534" w14:textId="77777777" w:rsidR="00F04BCA" w:rsidRPr="00F04BCA" w:rsidRDefault="00F04BCA" w:rsidP="00F04BCA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0D9BD118" w14:textId="77777777" w:rsidR="00F04BCA" w:rsidRPr="00F04BCA" w:rsidRDefault="00F04BCA" w:rsidP="00F04BCA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2DB137D9" w14:textId="77777777" w:rsidR="00F04BCA" w:rsidRPr="00F04BCA" w:rsidRDefault="00F04BCA" w:rsidP="00F04BCA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02B8472B" w14:textId="35F45AC1" w:rsidR="00F04BCA" w:rsidRPr="00F04BCA" w:rsidRDefault="00F04BCA" w:rsidP="00F04BCA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V</w:t>
      </w:r>
      <w:r w:rsidR="00B26179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eľký Horeš </w:t>
      </w:r>
      <w:r w:rsidR="00B04D03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24.02</w:t>
      </w:r>
      <w:r w:rsidR="00B26179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.</w:t>
      </w:r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2025 </w:t>
      </w:r>
    </w:p>
    <w:p w14:paraId="728EED19" w14:textId="77777777" w:rsidR="00F04BCA" w:rsidRPr="00F04BCA" w:rsidRDefault="00F04BCA" w:rsidP="00F04BCA">
      <w:pPr>
        <w:spacing w:after="0"/>
        <w:ind w:left="182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 </w:t>
      </w:r>
    </w:p>
    <w:p w14:paraId="5FF552F1" w14:textId="77777777" w:rsidR="00B26179" w:rsidRDefault="00B26179" w:rsidP="00F04BCA">
      <w:pPr>
        <w:spacing w:after="5" w:line="249" w:lineRule="auto"/>
        <w:ind w:left="6033" w:right="721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</w:pP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Denisa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Csomósová</w:t>
      </w:r>
      <w:proofErr w:type="spellEnd"/>
      <w:r w:rsidR="00F04BCA"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Bc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.</w:t>
      </w:r>
    </w:p>
    <w:p w14:paraId="702AC5ED" w14:textId="34955547" w:rsidR="00F04BCA" w:rsidRPr="00F04BCA" w:rsidRDefault="00F04BCA" w:rsidP="00F04BCA">
      <w:pPr>
        <w:spacing w:after="5" w:line="249" w:lineRule="auto"/>
        <w:ind w:left="6033" w:right="721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riaditeľka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B26179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materskej</w:t>
      </w:r>
      <w:proofErr w:type="spellEnd"/>
      <w:r w:rsidR="00B26179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33F810F5" w14:textId="77777777" w:rsidR="00F04BCA" w:rsidRPr="00F04BCA" w:rsidRDefault="00F04BCA" w:rsidP="00F04BCA">
      <w:pPr>
        <w:spacing w:after="0"/>
        <w:ind w:left="182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4EAF4438" w14:textId="77777777" w:rsidR="00F04BCA" w:rsidRPr="00F04BCA" w:rsidRDefault="00F04BCA" w:rsidP="00F04BCA">
      <w:pPr>
        <w:spacing w:after="0"/>
        <w:ind w:left="182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34D9018B" w14:textId="77777777" w:rsidR="00F04BCA" w:rsidRPr="00F04BCA" w:rsidRDefault="00F04BCA" w:rsidP="00F04BCA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041D0C3D" w14:textId="77777777" w:rsidR="00F04BCA" w:rsidRPr="00F04BCA" w:rsidRDefault="00F04BCA" w:rsidP="00F04BCA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696B325C" w14:textId="77777777" w:rsidR="00F04BCA" w:rsidRPr="00F04BCA" w:rsidRDefault="00F04BCA" w:rsidP="00F04BCA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5077E816" w14:textId="77777777" w:rsidR="00F04BCA" w:rsidRPr="00F04BCA" w:rsidRDefault="00F04BCA" w:rsidP="00F04BCA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20E44257" w14:textId="164AE847" w:rsidR="00F04BCA" w:rsidRPr="00F04BCA" w:rsidRDefault="00F04BCA" w:rsidP="00B26179">
      <w:pPr>
        <w:spacing w:after="0" w:line="268" w:lineRule="auto"/>
        <w:ind w:left="10" w:right="130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Prerokované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v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pedagogickej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rade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dňa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: </w:t>
      </w:r>
      <w:r w:rsidR="0045736B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24.02.</w:t>
      </w:r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2025 </w:t>
      </w:r>
    </w:p>
    <w:p w14:paraId="0C08AB87" w14:textId="33EC01D5" w:rsidR="00B26179" w:rsidRDefault="00F04BCA" w:rsidP="00F04BCA">
      <w:pPr>
        <w:spacing w:after="50" w:line="268" w:lineRule="auto"/>
        <w:ind w:left="10" w:right="130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Prerokované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s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radou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školy</w:t>
      </w:r>
      <w:proofErr w:type="spellEnd"/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 xml:space="preserve"> dňa:</w:t>
      </w:r>
      <w:r w:rsidR="0045736B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10.03.</w:t>
      </w:r>
      <w:r w:rsidRPr="00F04BCA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2025</w:t>
      </w:r>
    </w:p>
    <w:p w14:paraId="46C36123" w14:textId="77777777" w:rsidR="00B26179" w:rsidRDefault="00B26179" w:rsidP="00F04BCA">
      <w:pPr>
        <w:spacing w:after="50" w:line="268" w:lineRule="auto"/>
        <w:ind w:left="10" w:right="130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</w:pPr>
    </w:p>
    <w:p w14:paraId="4BE1AA6C" w14:textId="77777777" w:rsidR="00B26179" w:rsidRDefault="00B26179" w:rsidP="00F04BCA">
      <w:pPr>
        <w:spacing w:after="50" w:line="268" w:lineRule="auto"/>
        <w:ind w:left="10" w:right="130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</w:pPr>
    </w:p>
    <w:p w14:paraId="4B06AE07" w14:textId="77777777" w:rsidR="00B26179" w:rsidRDefault="00B26179" w:rsidP="00F04BCA">
      <w:pPr>
        <w:spacing w:after="50" w:line="268" w:lineRule="auto"/>
        <w:ind w:left="10" w:right="130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</w:pPr>
    </w:p>
    <w:p w14:paraId="6FD1BE7F" w14:textId="534B2094" w:rsidR="00F04BCA" w:rsidRPr="00F04BCA" w:rsidRDefault="00F04BCA" w:rsidP="009842EB">
      <w:pPr>
        <w:spacing w:after="50" w:line="268" w:lineRule="auto"/>
        <w:ind w:right="13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sectPr w:rsidR="00F04BCA" w:rsidRPr="00F04B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2DC36" w14:textId="77777777" w:rsidR="00F04BCA" w:rsidRDefault="00F04BCA" w:rsidP="00F04BCA">
      <w:pPr>
        <w:spacing w:after="0" w:line="240" w:lineRule="auto"/>
      </w:pPr>
      <w:r>
        <w:separator/>
      </w:r>
    </w:p>
  </w:endnote>
  <w:endnote w:type="continuationSeparator" w:id="0">
    <w:p w14:paraId="48510CF6" w14:textId="77777777" w:rsidR="00F04BCA" w:rsidRDefault="00F04BCA" w:rsidP="00F04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2932D" w14:textId="77777777" w:rsidR="0045736B" w:rsidRDefault="0045736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E5677" w14:textId="77777777" w:rsidR="00F04BCA" w:rsidRDefault="00F04BCA" w:rsidP="00F04BCA">
      <w:pPr>
        <w:spacing w:after="0" w:line="240" w:lineRule="auto"/>
      </w:pPr>
      <w:r>
        <w:separator/>
      </w:r>
    </w:p>
  </w:footnote>
  <w:footnote w:type="continuationSeparator" w:id="0">
    <w:p w14:paraId="35C4AB89" w14:textId="77777777" w:rsidR="00F04BCA" w:rsidRDefault="00F04BCA" w:rsidP="00F04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1740F"/>
    <w:multiLevelType w:val="hybridMultilevel"/>
    <w:tmpl w:val="5D584BAE"/>
    <w:lvl w:ilvl="0" w:tplc="B7EA3120">
      <w:start w:val="1"/>
      <w:numFmt w:val="bullet"/>
      <w:lvlText w:val="▪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585B5C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9325722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9E62392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DBC2CB4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C65BFA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CC01FD0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5886630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2967A10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BA7841"/>
    <w:multiLevelType w:val="hybridMultilevel"/>
    <w:tmpl w:val="2CAC332C"/>
    <w:lvl w:ilvl="0" w:tplc="6BD2CF8E">
      <w:start w:val="1"/>
      <w:numFmt w:val="bullet"/>
      <w:lvlText w:val="▪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54E0488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816DB64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F5ADC04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0A6F71E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88245E2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4DE01F0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988601E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77E86FE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B34BA2"/>
    <w:multiLevelType w:val="hybridMultilevel"/>
    <w:tmpl w:val="923802D0"/>
    <w:lvl w:ilvl="0" w:tplc="3DD2EE2C">
      <w:start w:val="1"/>
      <w:numFmt w:val="bullet"/>
      <w:lvlText w:val="-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150B5BA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978D324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11AA372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0E4A0B6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D646BCA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0DE40B4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3DE36B6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E12CD2A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4719CE"/>
    <w:multiLevelType w:val="hybridMultilevel"/>
    <w:tmpl w:val="550C3B10"/>
    <w:lvl w:ilvl="0" w:tplc="55BC7A92">
      <w:start w:val="1"/>
      <w:numFmt w:val="bullet"/>
      <w:lvlText w:val="▪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6F8CB86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0A24410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870D448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3866ADE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846DFFE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E0AD30E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9DE7ADC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99E5992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3C1800"/>
    <w:multiLevelType w:val="hybridMultilevel"/>
    <w:tmpl w:val="E31668E2"/>
    <w:lvl w:ilvl="0" w:tplc="3A74FEAC">
      <w:start w:val="1"/>
      <w:numFmt w:val="bullet"/>
      <w:lvlText w:val="▪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6C68874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D12FB40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3B08B1A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A640CBA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12C4708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069BE6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70693EA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662FC0E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3959D1"/>
    <w:multiLevelType w:val="hybridMultilevel"/>
    <w:tmpl w:val="2E5C0178"/>
    <w:lvl w:ilvl="0" w:tplc="040E0001">
      <w:start w:val="1"/>
      <w:numFmt w:val="bullet"/>
      <w:lvlText w:val=""/>
      <w:lvlJc w:val="left"/>
      <w:pPr>
        <w:ind w:left="42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560316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D41F70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2634D8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1496A8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D22C1A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92099A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9E0700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D228F4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2332CD"/>
    <w:multiLevelType w:val="hybridMultilevel"/>
    <w:tmpl w:val="46C2D29C"/>
    <w:lvl w:ilvl="0" w:tplc="493ABA2E">
      <w:start w:val="1"/>
      <w:numFmt w:val="lowerLetter"/>
      <w:lvlText w:val="%1)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80A28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10EC32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1CD140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588F9C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9C640C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3EF35A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4ABD6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CCFD6A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952289"/>
    <w:multiLevelType w:val="hybridMultilevel"/>
    <w:tmpl w:val="161A3C78"/>
    <w:lvl w:ilvl="0" w:tplc="040E0001">
      <w:start w:val="1"/>
      <w:numFmt w:val="bullet"/>
      <w:lvlText w:val=""/>
      <w:lvlJc w:val="left"/>
      <w:pPr>
        <w:ind w:left="426"/>
      </w:pPr>
      <w:rPr>
        <w:rFonts w:ascii="Symbol" w:hAnsi="Symbol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C9E692C">
      <w:start w:val="1"/>
      <w:numFmt w:val="bullet"/>
      <w:lvlText w:val="o"/>
      <w:lvlJc w:val="left"/>
      <w:pPr>
        <w:ind w:left="1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5569C72">
      <w:start w:val="1"/>
      <w:numFmt w:val="bullet"/>
      <w:lvlText w:val="▪"/>
      <w:lvlJc w:val="left"/>
      <w:pPr>
        <w:ind w:left="1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C1C8398">
      <w:start w:val="1"/>
      <w:numFmt w:val="bullet"/>
      <w:lvlText w:val="•"/>
      <w:lvlJc w:val="left"/>
      <w:pPr>
        <w:ind w:left="2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4CE1CD4">
      <w:start w:val="1"/>
      <w:numFmt w:val="bullet"/>
      <w:lvlText w:val="o"/>
      <w:lvlJc w:val="left"/>
      <w:pPr>
        <w:ind w:left="3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64CE08E">
      <w:start w:val="1"/>
      <w:numFmt w:val="bullet"/>
      <w:lvlText w:val="▪"/>
      <w:lvlJc w:val="left"/>
      <w:pPr>
        <w:ind w:left="39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82014E">
      <w:start w:val="1"/>
      <w:numFmt w:val="bullet"/>
      <w:lvlText w:val="•"/>
      <w:lvlJc w:val="left"/>
      <w:pPr>
        <w:ind w:left="46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38C66D6">
      <w:start w:val="1"/>
      <w:numFmt w:val="bullet"/>
      <w:lvlText w:val="o"/>
      <w:lvlJc w:val="left"/>
      <w:pPr>
        <w:ind w:left="53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4686722">
      <w:start w:val="1"/>
      <w:numFmt w:val="bullet"/>
      <w:lvlText w:val="▪"/>
      <w:lvlJc w:val="left"/>
      <w:pPr>
        <w:ind w:left="61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C06544"/>
    <w:multiLevelType w:val="hybridMultilevel"/>
    <w:tmpl w:val="4F96BAAC"/>
    <w:lvl w:ilvl="0" w:tplc="040E0001">
      <w:start w:val="1"/>
      <w:numFmt w:val="bullet"/>
      <w:lvlText w:val=""/>
      <w:lvlJc w:val="left"/>
      <w:pPr>
        <w:ind w:left="575"/>
      </w:pPr>
      <w:rPr>
        <w:rFonts w:ascii="Symbol" w:hAnsi="Symbol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C9E692C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5569C72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C1C8398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4CE1CD4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64CE08E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82014E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38C66D6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4686722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DB731D4"/>
    <w:multiLevelType w:val="hybridMultilevel"/>
    <w:tmpl w:val="0520185C"/>
    <w:lvl w:ilvl="0" w:tplc="FCC6C7AA">
      <w:start w:val="1"/>
      <w:numFmt w:val="lowerLetter"/>
      <w:lvlText w:val="%1)"/>
      <w:lvlJc w:val="left"/>
      <w:pPr>
        <w:ind w:left="2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1">
      <w:start w:val="1"/>
      <w:numFmt w:val="bullet"/>
      <w:lvlText w:val="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2BACB3E">
      <w:start w:val="1"/>
      <w:numFmt w:val="bullet"/>
      <w:lvlText w:val="▪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28CD8A2">
      <w:start w:val="1"/>
      <w:numFmt w:val="bullet"/>
      <w:lvlText w:val="•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65EB276">
      <w:start w:val="1"/>
      <w:numFmt w:val="bullet"/>
      <w:lvlText w:val="o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D70B32A">
      <w:start w:val="1"/>
      <w:numFmt w:val="bullet"/>
      <w:lvlText w:val="▪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286D83E">
      <w:start w:val="1"/>
      <w:numFmt w:val="bullet"/>
      <w:lvlText w:val="•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2FA3E7A">
      <w:start w:val="1"/>
      <w:numFmt w:val="bullet"/>
      <w:lvlText w:val="o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08EE77C">
      <w:start w:val="1"/>
      <w:numFmt w:val="bullet"/>
      <w:lvlText w:val="▪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0018640">
    <w:abstractNumId w:val="6"/>
  </w:num>
  <w:num w:numId="2" w16cid:durableId="921064555">
    <w:abstractNumId w:val="5"/>
  </w:num>
  <w:num w:numId="3" w16cid:durableId="484130117">
    <w:abstractNumId w:val="7"/>
  </w:num>
  <w:num w:numId="4" w16cid:durableId="128591041">
    <w:abstractNumId w:val="9"/>
  </w:num>
  <w:num w:numId="5" w16cid:durableId="2024089825">
    <w:abstractNumId w:val="2"/>
  </w:num>
  <w:num w:numId="6" w16cid:durableId="1957061219">
    <w:abstractNumId w:val="4"/>
  </w:num>
  <w:num w:numId="7" w16cid:durableId="1369061187">
    <w:abstractNumId w:val="0"/>
  </w:num>
  <w:num w:numId="8" w16cid:durableId="459803807">
    <w:abstractNumId w:val="1"/>
  </w:num>
  <w:num w:numId="9" w16cid:durableId="1778327523">
    <w:abstractNumId w:val="3"/>
  </w:num>
  <w:num w:numId="10" w16cid:durableId="13625080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CA"/>
    <w:rsid w:val="00321ED1"/>
    <w:rsid w:val="0045736B"/>
    <w:rsid w:val="004601FD"/>
    <w:rsid w:val="00577B09"/>
    <w:rsid w:val="005856CD"/>
    <w:rsid w:val="0065162C"/>
    <w:rsid w:val="009842EB"/>
    <w:rsid w:val="00B04D03"/>
    <w:rsid w:val="00B26179"/>
    <w:rsid w:val="00C86066"/>
    <w:rsid w:val="00DF79F6"/>
    <w:rsid w:val="00F04BCA"/>
    <w:rsid w:val="00F7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7FF2"/>
  <w15:chartTrackingRefBased/>
  <w15:docId w15:val="{0800FFD3-55BC-488D-A209-7C9F8B66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otnotedescription">
    <w:name w:val="footnote description"/>
    <w:next w:val="Normlny"/>
    <w:link w:val="footnotedescriptionChar"/>
    <w:hidden/>
    <w:rsid w:val="00F04BCA"/>
    <w:pPr>
      <w:spacing w:after="0"/>
    </w:pPr>
    <w:rPr>
      <w:rFonts w:ascii="Arial" w:eastAsia="Arial" w:hAnsi="Arial" w:cs="Arial"/>
      <w:color w:val="4472C4"/>
      <w:sz w:val="20"/>
      <w:u w:val="single" w:color="4472C4"/>
      <w:lang w:eastAsia="hu-HU"/>
    </w:rPr>
  </w:style>
  <w:style w:type="character" w:customStyle="1" w:styleId="footnotedescriptionChar">
    <w:name w:val="footnote description Char"/>
    <w:link w:val="footnotedescription"/>
    <w:rsid w:val="00F04BCA"/>
    <w:rPr>
      <w:rFonts w:ascii="Arial" w:eastAsia="Arial" w:hAnsi="Arial" w:cs="Arial"/>
      <w:color w:val="4472C4"/>
      <w:sz w:val="20"/>
      <w:u w:val="single" w:color="4472C4"/>
      <w:lang w:eastAsia="hu-HU"/>
    </w:rPr>
  </w:style>
  <w:style w:type="character" w:customStyle="1" w:styleId="footnotemark">
    <w:name w:val="footnote mark"/>
    <w:hidden/>
    <w:rsid w:val="00F04BCA"/>
    <w:rPr>
      <w:rFonts w:ascii="Arial" w:eastAsia="Arial" w:hAnsi="Arial" w:cs="Arial"/>
      <w:color w:val="000000"/>
      <w:sz w:val="20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B26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6179"/>
  </w:style>
  <w:style w:type="paragraph" w:styleId="Pta">
    <w:name w:val="footer"/>
    <w:basedOn w:val="Normlny"/>
    <w:link w:val="PtaChar"/>
    <w:uiPriority w:val="99"/>
    <w:unhideWhenUsed/>
    <w:rsid w:val="00B26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6179"/>
  </w:style>
  <w:style w:type="paragraph" w:styleId="Textbubliny">
    <w:name w:val="Balloon Text"/>
    <w:basedOn w:val="Normlny"/>
    <w:link w:val="TextbublinyChar"/>
    <w:uiPriority w:val="99"/>
    <w:semiHidden/>
    <w:unhideWhenUsed/>
    <w:rsid w:val="00C86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Csomós</dc:creator>
  <cp:keywords/>
  <dc:description/>
  <cp:lastModifiedBy>Obec Veľký Horeš</cp:lastModifiedBy>
  <cp:revision>2</cp:revision>
  <cp:lastPrinted>2025-02-26T08:32:00Z</cp:lastPrinted>
  <dcterms:created xsi:type="dcterms:W3CDTF">2025-05-02T07:49:00Z</dcterms:created>
  <dcterms:modified xsi:type="dcterms:W3CDTF">2025-05-02T07:49:00Z</dcterms:modified>
</cp:coreProperties>
</file>